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7" w:rsidRDefault="00EE26E7" w:rsidP="00D86F91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</w:pPr>
      <w:r w:rsidRPr="00D945C6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Алгоритм дій </w:t>
      </w:r>
      <w:r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у Ставчанському професійному ліцеї </w:t>
      </w:r>
    </w:p>
    <w:p w:rsidR="00EE26E7" w:rsidRDefault="00EE26E7" w:rsidP="00D86F91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</w:pPr>
      <w:r w:rsidRPr="00D945C6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у разі виникнення</w:t>
      </w:r>
      <w:r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 випадку</w:t>
      </w:r>
      <w:r w:rsidRPr="00D945C6"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shd w:val="clear" w:color="auto" w:fill="FFFFFF"/>
        </w:rPr>
        <w:t>булінгу</w:t>
      </w:r>
    </w:p>
    <w:p w:rsidR="00EE26E7" w:rsidRPr="00D945C6" w:rsidRDefault="00EE26E7" w:rsidP="00D86F91">
      <w:pPr>
        <w:shd w:val="clear" w:color="auto" w:fill="FFFFFF"/>
        <w:spacing w:after="150" w:line="240" w:lineRule="auto"/>
        <w:ind w:firstLine="708"/>
        <w:jc w:val="center"/>
        <w:rPr>
          <w:rFonts w:ascii="Times New Roman" w:hAnsi="Times New Roman"/>
          <w:b/>
          <w:color w:val="FF0000"/>
          <w:sz w:val="44"/>
          <w:szCs w:val="44"/>
          <w:lang w:eastAsia="uk-UA"/>
        </w:rPr>
      </w:pPr>
    </w:p>
    <w:tbl>
      <w:tblPr>
        <w:tblStyle w:val="TableGrid"/>
        <w:tblW w:w="15840" w:type="dxa"/>
        <w:tblInd w:w="-252" w:type="dxa"/>
        <w:tblLook w:val="01E0"/>
      </w:tblPr>
      <w:tblGrid>
        <w:gridCol w:w="4140"/>
        <w:gridCol w:w="11700"/>
      </w:tblGrid>
      <w:tr w:rsidR="00EE26E7" w:rsidRPr="00D86F91" w:rsidTr="00184405">
        <w:trPr>
          <w:trHeight w:val="700"/>
        </w:trPr>
        <w:tc>
          <w:tcPr>
            <w:tcW w:w="4140" w:type="dxa"/>
            <w:vMerge w:val="restart"/>
          </w:tcPr>
          <w:p w:rsidR="00EE26E7" w:rsidRPr="00D945C6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color w:val="000066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0066"/>
                <w:sz w:val="32"/>
                <w:szCs w:val="32"/>
                <w:lang w:eastAsia="uk-UA"/>
              </w:rPr>
              <w:t>Якщо</w:t>
            </w:r>
          </w:p>
          <w:p w:rsidR="00EE26E7" w:rsidRPr="00D945C6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color w:val="000066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0066"/>
                <w:sz w:val="32"/>
                <w:szCs w:val="32"/>
                <w:lang w:eastAsia="uk-UA"/>
              </w:rPr>
              <w:t xml:space="preserve"> ДИТИНА</w:t>
            </w:r>
          </w:p>
          <w:p w:rsidR="00EE26E7" w:rsidRPr="00D86F91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0066"/>
                <w:sz w:val="32"/>
                <w:szCs w:val="32"/>
                <w:lang w:eastAsia="uk-UA"/>
              </w:rPr>
              <w:t xml:space="preserve"> стала свідком булінгу в закладі освіти</w:t>
            </w:r>
          </w:p>
        </w:tc>
        <w:tc>
          <w:tcPr>
            <w:tcW w:w="11700" w:type="dxa"/>
          </w:tcPr>
          <w:p w:rsidR="00EE26E7" w:rsidRPr="00D945C6" w:rsidRDefault="00EE26E7" w:rsidP="00270CE9">
            <w:pPr>
              <w:pStyle w:val="ListParagraph"/>
              <w:shd w:val="clear" w:color="auto" w:fill="FFFFFF"/>
              <w:spacing w:after="210"/>
              <w:ind w:left="0"/>
              <w:jc w:val="both"/>
              <w:rPr>
                <w:rFonts w:ascii="Times New Roman" w:eastAsia="Calibri" w:hAnsi="Times New Roman"/>
                <w:color w:val="000066"/>
                <w:sz w:val="32"/>
                <w:szCs w:val="32"/>
              </w:rPr>
            </w:pPr>
            <w:r w:rsidRPr="00D945C6">
              <w:rPr>
                <w:rFonts w:ascii="Times New Roman" w:eastAsia="Calibri" w:hAnsi="Times New Roman"/>
                <w:color w:val="000066"/>
                <w:sz w:val="32"/>
                <w:szCs w:val="32"/>
                <w:lang w:eastAsia="uk-UA"/>
              </w:rPr>
              <w:t>1.Передусім повідомити про це батькам, вчителю, психологу або безпосередньо директору.</w:t>
            </w:r>
          </w:p>
        </w:tc>
      </w:tr>
      <w:tr w:rsidR="00EE26E7" w:rsidRPr="00D86F91" w:rsidTr="00184405">
        <w:trPr>
          <w:trHeight w:val="1520"/>
        </w:trPr>
        <w:tc>
          <w:tcPr>
            <w:tcW w:w="4140" w:type="dxa"/>
            <w:vMerge/>
          </w:tcPr>
          <w:p w:rsidR="00EE26E7" w:rsidRPr="00D86F91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</w:p>
        </w:tc>
        <w:tc>
          <w:tcPr>
            <w:tcW w:w="11700" w:type="dxa"/>
          </w:tcPr>
          <w:p w:rsidR="00EE26E7" w:rsidRPr="00D945C6" w:rsidRDefault="00EE26E7" w:rsidP="00292976">
            <w:pPr>
              <w:rPr>
                <w:rFonts w:ascii="Times New Roman" w:eastAsia="Calibri" w:hAnsi="Times New Roman"/>
                <w:b/>
                <w:color w:val="000066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0066"/>
                <w:sz w:val="32"/>
                <w:szCs w:val="32"/>
                <w:lang w:eastAsia="uk-UA"/>
              </w:rPr>
              <w:t>2.Може звернутись на гарячу лінію ГО «Ла Страда - Україна» з протидії насильству в сім’ї або із захисту прав дітей, до соціальної служби з питань сім’ї, дітей та молоді, до Національної поліції або Центру надання безоплатної правової допомоги.</w:t>
            </w:r>
          </w:p>
        </w:tc>
      </w:tr>
      <w:tr w:rsidR="00EE26E7" w:rsidRPr="00D86F91" w:rsidTr="00184405">
        <w:tc>
          <w:tcPr>
            <w:tcW w:w="4140" w:type="dxa"/>
            <w:vMerge w:val="restart"/>
          </w:tcPr>
          <w:p w:rsidR="00EE26E7" w:rsidRPr="00D86F91" w:rsidRDefault="00EE26E7" w:rsidP="00D86F91">
            <w:pPr>
              <w:shd w:val="clear" w:color="auto" w:fill="FFFFFF"/>
              <w:spacing w:after="210" w:line="240" w:lineRule="auto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</w:p>
          <w:p w:rsidR="00EE26E7" w:rsidRPr="00D86F91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</w:p>
          <w:p w:rsidR="00EE26E7" w:rsidRPr="00D945C6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  <w:t xml:space="preserve">Якщо свідком булінгу став </w:t>
            </w:r>
          </w:p>
          <w:p w:rsidR="00EE26E7" w:rsidRPr="00D945C6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  <w:t xml:space="preserve">ПЕДАГОГ </w:t>
            </w:r>
          </w:p>
          <w:p w:rsidR="00EE26E7" w:rsidRPr="00D86F91" w:rsidRDefault="00EE26E7" w:rsidP="00D86F91">
            <w:pPr>
              <w:shd w:val="clear" w:color="auto" w:fill="FFFFFF"/>
              <w:spacing w:after="21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  <w:t>або інший працівник школи</w:t>
            </w:r>
          </w:p>
        </w:tc>
        <w:tc>
          <w:tcPr>
            <w:tcW w:w="11700" w:type="dxa"/>
          </w:tcPr>
          <w:p w:rsidR="00EE26E7" w:rsidRPr="00D945C6" w:rsidRDefault="00EE26E7">
            <w:pPr>
              <w:rPr>
                <w:rFonts w:ascii="Times New Roman" w:eastAsia="Calibri" w:hAnsi="Times New Roman"/>
                <w:color w:val="660033"/>
                <w:sz w:val="32"/>
                <w:szCs w:val="32"/>
              </w:rPr>
            </w:pPr>
            <w:r w:rsidRPr="00D945C6">
              <w:rPr>
                <w:rFonts w:ascii="Times New Roman" w:eastAsia="Calibri" w:hAnsi="Times New Roman"/>
                <w:color w:val="660033"/>
                <w:sz w:val="32"/>
                <w:szCs w:val="32"/>
                <w:lang w:eastAsia="uk-UA"/>
              </w:rPr>
              <w:t>1.Негайно втрутитись і зупинити насилля – булінг не можна ігнорувати.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292976">
            <w:pPr>
              <w:pStyle w:val="ListParagraph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  <w:t>2.Зберігайте спокій та будьте делікатними, не примушуйте дітей публічно говорити на важкі для них теми. Краще вести розмову наодинці, або в малих групах.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292976">
            <w:pPr>
              <w:pStyle w:val="ListParagraph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eastAsia="Calibri" w:hAnsi="Times New Roman"/>
                <w:color w:val="660033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color w:val="660033"/>
                <w:sz w:val="32"/>
                <w:szCs w:val="32"/>
                <w:lang w:eastAsia="uk-UA"/>
              </w:rPr>
              <w:t>3.Уникайте слів жертва чи агресор — це призводить до стигматизації.</w:t>
            </w:r>
          </w:p>
        </w:tc>
      </w:tr>
      <w:tr w:rsidR="00EE26E7" w:rsidRPr="00D86F91" w:rsidTr="00184405">
        <w:trPr>
          <w:trHeight w:val="852"/>
        </w:trPr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292976">
            <w:pPr>
              <w:pStyle w:val="ListParagraph"/>
              <w:shd w:val="clear" w:color="auto" w:fill="FFFFFF"/>
              <w:spacing w:after="210" w:line="240" w:lineRule="auto"/>
              <w:ind w:left="0"/>
              <w:jc w:val="both"/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  <w:t>4.Не намагайтеся ставати на чийсь бік або викликати відчуття провини до того, хто потерпає від булінгу. Так ви закріплюєте поведінку жертви.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D945C6">
              <w:rPr>
                <w:rFonts w:ascii="Times New Roman" w:eastAsia="Calibri" w:hAnsi="Times New Roman"/>
                <w:color w:val="660033"/>
                <w:sz w:val="32"/>
                <w:szCs w:val="32"/>
                <w:lang w:eastAsia="uk-UA"/>
              </w:rPr>
              <w:t>5.Не вимагайте публічних вибачень. Це може загострити ситуацію</w:t>
            </w:r>
            <w:r w:rsidRPr="00D945C6">
              <w:rPr>
                <w:rFonts w:ascii="Times New Roman" w:eastAsia="Calibri" w:hAnsi="Times New Roman"/>
                <w:sz w:val="32"/>
                <w:szCs w:val="32"/>
                <w:lang w:eastAsia="uk-UA"/>
              </w:rPr>
              <w:t>.</w:t>
            </w:r>
          </w:p>
        </w:tc>
      </w:tr>
      <w:tr w:rsidR="00EE26E7" w:rsidRPr="00D86F91" w:rsidTr="00184405">
        <w:trPr>
          <w:trHeight w:val="620"/>
        </w:trPr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  <w:tcBorders>
              <w:top w:val="nil"/>
            </w:tcBorders>
          </w:tcPr>
          <w:p w:rsidR="00EE26E7" w:rsidRPr="00D945C6" w:rsidRDefault="00EE26E7" w:rsidP="00292976">
            <w:pPr>
              <w:pStyle w:val="ListParagraph"/>
              <w:shd w:val="clear" w:color="auto" w:fill="FFFFFF"/>
              <w:spacing w:after="210"/>
              <w:ind w:left="0"/>
              <w:jc w:val="both"/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660033"/>
                <w:sz w:val="32"/>
                <w:szCs w:val="32"/>
                <w:lang w:eastAsia="uk-UA"/>
              </w:rPr>
              <w:t>6.Повідомити керівника ліцею та психолога незалежно від того, чи поскаржилась йому жертва булінгу чи ні.</w:t>
            </w:r>
          </w:p>
        </w:tc>
      </w:tr>
      <w:tr w:rsidR="00EE26E7" w:rsidRPr="00D86F91" w:rsidTr="00184405">
        <w:trPr>
          <w:trHeight w:val="940"/>
        </w:trPr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292976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color w:val="660033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color w:val="660033"/>
                <w:sz w:val="32"/>
                <w:szCs w:val="32"/>
                <w:lang w:eastAsia="uk-UA"/>
              </w:rPr>
              <w:t>7.Інформувати керівника ліцею у письмовій формі про випадок булінгу після отримання звернення дитини.</w:t>
            </w:r>
          </w:p>
        </w:tc>
      </w:tr>
      <w:tr w:rsidR="00EE26E7" w:rsidRPr="00D86F91" w:rsidTr="00184405">
        <w:trPr>
          <w:trHeight w:val="174"/>
        </w:trPr>
        <w:tc>
          <w:tcPr>
            <w:tcW w:w="4140" w:type="dxa"/>
          </w:tcPr>
          <w:p w:rsidR="00EE26E7" w:rsidRPr="00184405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1700" w:type="dxa"/>
          </w:tcPr>
          <w:p w:rsidR="00EE26E7" w:rsidRPr="00184405" w:rsidRDefault="00EE26E7" w:rsidP="00292976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color w:val="660033"/>
                <w:sz w:val="16"/>
                <w:szCs w:val="16"/>
                <w:lang w:eastAsia="uk-UA"/>
              </w:rPr>
            </w:pPr>
          </w:p>
        </w:tc>
      </w:tr>
      <w:tr w:rsidR="00EE26E7" w:rsidRPr="00D86F91" w:rsidTr="00184405">
        <w:tc>
          <w:tcPr>
            <w:tcW w:w="4140" w:type="dxa"/>
            <w:vMerge w:val="restart"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</w:p>
          <w:p w:rsidR="00EE26E7" w:rsidRPr="00D945C6" w:rsidRDefault="00EE26E7" w:rsidP="00D86F91">
            <w:pPr>
              <w:jc w:val="center"/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  <w:t xml:space="preserve">Дії  </w:t>
            </w:r>
          </w:p>
          <w:p w:rsidR="00EE26E7" w:rsidRPr="00D945C6" w:rsidRDefault="00EE26E7" w:rsidP="00D86F91">
            <w:pPr>
              <w:jc w:val="center"/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  <w:t>КЕРІВНИКА ліцею</w:t>
            </w:r>
          </w:p>
          <w:p w:rsidR="00EE26E7" w:rsidRPr="00D86F91" w:rsidRDefault="00EE26E7" w:rsidP="00D86F91">
            <w:pPr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D86F91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color w:val="FF00FF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color w:val="FF00FF"/>
                <w:sz w:val="32"/>
                <w:szCs w:val="32"/>
                <w:lang w:eastAsia="uk-UA"/>
              </w:rPr>
              <w:t>1.Невідкладно реагувати на представлені факти спільно із соціально-психологічною службою школи.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D86F91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  <w:t>2.Створити наказ по розслідуванню ситуації боулінгу.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292976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color w:val="FF00FF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color w:val="FF00FF"/>
                <w:sz w:val="32"/>
                <w:szCs w:val="32"/>
                <w:lang w:eastAsia="uk-UA"/>
              </w:rPr>
              <w:t>3.Створити та затвердити склад комісії з розгляду випадків булінгу.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>
            <w:pPr>
              <w:rPr>
                <w:rFonts w:ascii="Times New Roman" w:eastAsia="Calibri" w:hAnsi="Times New Roman"/>
                <w:b/>
                <w:color w:val="FF00FF"/>
                <w:sz w:val="32"/>
                <w:szCs w:val="32"/>
              </w:rPr>
            </w:pPr>
            <w:r w:rsidRPr="00D945C6"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  <w:t>4.Скликати засідання комісії з розгляду випадків булінгу та окреслити подальші дії.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>
            <w:pPr>
              <w:rPr>
                <w:rFonts w:ascii="Times New Roman" w:eastAsia="Calibri" w:hAnsi="Times New Roman"/>
                <w:color w:val="FF00FF"/>
                <w:sz w:val="32"/>
                <w:szCs w:val="32"/>
              </w:rPr>
            </w:pPr>
            <w:r w:rsidRPr="00D945C6">
              <w:rPr>
                <w:rFonts w:ascii="Times New Roman" w:eastAsia="Calibri" w:hAnsi="Times New Roman"/>
                <w:color w:val="FF00FF"/>
                <w:sz w:val="32"/>
                <w:szCs w:val="32"/>
                <w:lang w:eastAsia="uk-UA"/>
              </w:rPr>
              <w:t>5.Повідомити уповноважені підрозділи органів Національної поліції України та Службу у справах дітей, якщо комісія визнала, що це був булінг, а не одноразовий конфлікт, то очільник закладу.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292976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FF00FF"/>
                <w:sz w:val="32"/>
                <w:szCs w:val="32"/>
                <w:lang w:eastAsia="uk-UA"/>
              </w:rPr>
              <w:t xml:space="preserve">6.У разі, якщо комісія не кваліфікує випадок як булінг, а постраждалий не згодний з цим, то він може одразу звернутись до органів Національної поліції України. </w:t>
            </w:r>
          </w:p>
        </w:tc>
      </w:tr>
      <w:tr w:rsidR="00EE26E7" w:rsidRPr="00D86F91" w:rsidTr="00184405">
        <w:tc>
          <w:tcPr>
            <w:tcW w:w="4140" w:type="dxa"/>
            <w:vMerge w:val="restart"/>
          </w:tcPr>
          <w:p w:rsidR="00EE26E7" w:rsidRPr="00D86F91" w:rsidRDefault="00EE26E7" w:rsidP="00D86F91">
            <w:pPr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</w:p>
          <w:p w:rsidR="00EE26E7" w:rsidRPr="00D945C6" w:rsidRDefault="00EE26E7" w:rsidP="00D86F91">
            <w:pPr>
              <w:jc w:val="center"/>
              <w:rPr>
                <w:rFonts w:ascii="Times New Roman" w:eastAsia="Calibri" w:hAnsi="Times New Roman"/>
                <w:b/>
                <w:color w:val="00FF00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FF00"/>
                <w:sz w:val="32"/>
                <w:szCs w:val="32"/>
                <w:lang w:eastAsia="uk-UA"/>
              </w:rPr>
              <w:t xml:space="preserve">Дії </w:t>
            </w:r>
          </w:p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FF00"/>
                <w:sz w:val="32"/>
                <w:szCs w:val="32"/>
                <w:lang w:eastAsia="uk-UA"/>
              </w:rPr>
              <w:t>КЛАСНОГО КЕРІВНИКА</w:t>
            </w:r>
          </w:p>
        </w:tc>
        <w:tc>
          <w:tcPr>
            <w:tcW w:w="11700" w:type="dxa"/>
          </w:tcPr>
          <w:p w:rsidR="00EE26E7" w:rsidRPr="00D945C6" w:rsidRDefault="00EE26E7" w:rsidP="00D86F91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color w:val="00FF00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color w:val="00FF00"/>
                <w:sz w:val="32"/>
                <w:szCs w:val="32"/>
                <w:lang w:eastAsia="uk-UA"/>
              </w:rPr>
              <w:t>1.Повідомити про випадок булінгу психолога та адміністрацію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D86F91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b/>
                <w:color w:val="00FF00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FF00"/>
                <w:sz w:val="32"/>
                <w:szCs w:val="32"/>
                <w:lang w:eastAsia="uk-UA"/>
              </w:rPr>
              <w:t xml:space="preserve">2.Розробити план втручання спільно із практичним психологом та соціальним педагогом. 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D86F91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color w:val="00FF00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color w:val="00FF00"/>
                <w:sz w:val="32"/>
                <w:szCs w:val="32"/>
                <w:lang w:eastAsia="uk-UA"/>
              </w:rPr>
              <w:t>3.Провести бесіду з учнями групи щодо з'ясування проявів булінгу.</w:t>
            </w:r>
          </w:p>
        </w:tc>
      </w:tr>
      <w:tr w:rsidR="00EE26E7" w:rsidRPr="00D86F91" w:rsidTr="00184405"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D86F91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b/>
                <w:color w:val="00FF00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b/>
                <w:color w:val="00FF00"/>
                <w:sz w:val="32"/>
                <w:szCs w:val="32"/>
                <w:lang w:eastAsia="uk-UA"/>
              </w:rPr>
              <w:t>4.Провести бесіду окремо з булерами та окремо з жертвами випадку булінгу.</w:t>
            </w:r>
          </w:p>
        </w:tc>
      </w:tr>
      <w:tr w:rsidR="00EE26E7" w:rsidRPr="00D86F91" w:rsidTr="00184405">
        <w:trPr>
          <w:trHeight w:val="1388"/>
        </w:trPr>
        <w:tc>
          <w:tcPr>
            <w:tcW w:w="4140" w:type="dxa"/>
            <w:vMerge/>
          </w:tcPr>
          <w:p w:rsidR="00EE26E7" w:rsidRPr="00D86F91" w:rsidRDefault="00EE26E7" w:rsidP="00D86F91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11700" w:type="dxa"/>
          </w:tcPr>
          <w:p w:rsidR="00EE26E7" w:rsidRPr="00D945C6" w:rsidRDefault="00EE26E7" w:rsidP="00D86F91">
            <w:pPr>
              <w:pStyle w:val="ListParagraph"/>
              <w:ind w:left="0"/>
              <w:jc w:val="both"/>
              <w:rPr>
                <w:rFonts w:ascii="Times New Roman" w:eastAsia="Calibri" w:hAnsi="Times New Roman"/>
                <w:color w:val="00FF00"/>
                <w:sz w:val="32"/>
                <w:szCs w:val="32"/>
                <w:lang w:eastAsia="uk-UA"/>
              </w:rPr>
            </w:pPr>
            <w:r w:rsidRPr="00D945C6">
              <w:rPr>
                <w:rFonts w:ascii="Times New Roman" w:eastAsia="Calibri" w:hAnsi="Times New Roman"/>
                <w:color w:val="00FF00"/>
                <w:sz w:val="32"/>
                <w:szCs w:val="32"/>
                <w:lang w:eastAsia="uk-UA"/>
              </w:rPr>
              <w:t>5.Провести бесіду окремо з батьками булерів та окремо з батьками жертв булінгу щодо ситуації, що склалася та визначення шляхів її подолання</w:t>
            </w:r>
            <w:r>
              <w:rPr>
                <w:rFonts w:ascii="Times New Roman" w:eastAsia="Calibri" w:hAnsi="Times New Roman"/>
                <w:color w:val="00FF00"/>
                <w:sz w:val="32"/>
                <w:szCs w:val="32"/>
                <w:lang w:eastAsia="uk-UA"/>
              </w:rPr>
              <w:t>.</w:t>
            </w:r>
          </w:p>
        </w:tc>
      </w:tr>
    </w:tbl>
    <w:p w:rsidR="00EE26E7" w:rsidRDefault="00EE26E7" w:rsidP="00E1656B"/>
    <w:sectPr w:rsidR="00EE26E7" w:rsidSect="00184405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E4A"/>
    <w:multiLevelType w:val="hybridMultilevel"/>
    <w:tmpl w:val="E668BDAE"/>
    <w:lvl w:ilvl="0" w:tplc="42566F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D7BC5"/>
    <w:multiLevelType w:val="hybridMultilevel"/>
    <w:tmpl w:val="CC464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C1866"/>
    <w:multiLevelType w:val="hybridMultilevel"/>
    <w:tmpl w:val="798A0B94"/>
    <w:lvl w:ilvl="0" w:tplc="3A94C7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447582"/>
    <w:multiLevelType w:val="hybridMultilevel"/>
    <w:tmpl w:val="C200F056"/>
    <w:lvl w:ilvl="0" w:tplc="189A18A4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05F"/>
    <w:rsid w:val="0001747F"/>
    <w:rsid w:val="000546B6"/>
    <w:rsid w:val="00184405"/>
    <w:rsid w:val="00270CE9"/>
    <w:rsid w:val="00292976"/>
    <w:rsid w:val="004F1FEA"/>
    <w:rsid w:val="00CD106C"/>
    <w:rsid w:val="00D86F91"/>
    <w:rsid w:val="00D945C6"/>
    <w:rsid w:val="00DF6FE9"/>
    <w:rsid w:val="00E1656B"/>
    <w:rsid w:val="00E3505F"/>
    <w:rsid w:val="00E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5F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05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70CE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5</cp:revision>
  <dcterms:created xsi:type="dcterms:W3CDTF">2019-03-03T18:08:00Z</dcterms:created>
  <dcterms:modified xsi:type="dcterms:W3CDTF">2019-03-25T13:20:00Z</dcterms:modified>
</cp:coreProperties>
</file>